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DD6" w:rsidRDefault="00626DD6">
      <w:pPr>
        <w:jc w:val="center"/>
      </w:pPr>
    </w:p>
    <w:p w:rsidR="00626DD6" w:rsidRDefault="00BF0433">
      <w:pPr>
        <w:jc w:val="center"/>
      </w:pPr>
      <w:r>
        <w:rPr>
          <w:noProof/>
        </w:rPr>
        <w:drawing>
          <wp:inline distT="0" distB="0" distL="0" distR="0">
            <wp:extent cx="2857899" cy="1038370"/>
            <wp:effectExtent l="0" t="0" r="0" b="0"/>
            <wp:docPr id="1074198473" name="image1.png" descr="Une image contenant Graphique, Police, logo, symbol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Graphique, Police, logo, symbole&#10;&#10;Le contenu généré par l’IA peut être incorrect."/>
                    <pic:cNvPicPr preferRelativeResize="0"/>
                  </pic:nvPicPr>
                  <pic:blipFill>
                    <a:blip r:embed="rId6"/>
                    <a:srcRect/>
                    <a:stretch>
                      <a:fillRect/>
                    </a:stretch>
                  </pic:blipFill>
                  <pic:spPr>
                    <a:xfrm>
                      <a:off x="0" y="0"/>
                      <a:ext cx="2857899" cy="1038370"/>
                    </a:xfrm>
                    <a:prstGeom prst="rect">
                      <a:avLst/>
                    </a:prstGeom>
                    <a:ln/>
                  </pic:spPr>
                </pic:pic>
              </a:graphicData>
            </a:graphic>
          </wp:inline>
        </w:drawing>
      </w:r>
    </w:p>
    <w:p w:rsidR="00626DD6" w:rsidRDefault="00BF0433">
      <w:pPr>
        <w:jc w:val="center"/>
        <w:rPr>
          <w:b/>
          <w:bCs/>
          <w:sz w:val="32"/>
          <w:szCs w:val="32"/>
        </w:rPr>
      </w:pPr>
      <w:r>
        <w:rPr>
          <w:b/>
          <w:bCs/>
          <w:sz w:val="32"/>
          <w:szCs w:val="32"/>
        </w:rPr>
        <w:t>Fiche de mission</w:t>
      </w:r>
    </w:p>
    <w:p w:rsidR="00626DD6" w:rsidRDefault="00626DD6">
      <w:pPr>
        <w:jc w:val="center"/>
        <w:rPr>
          <w:b/>
          <w:bCs/>
          <w:sz w:val="32"/>
          <w:szCs w:val="32"/>
        </w:rPr>
      </w:pPr>
    </w:p>
    <w:p w:rsidR="00626DD6" w:rsidRDefault="00BF0433">
      <w:pPr>
        <w:jc w:val="both"/>
        <w:rPr>
          <w:rFonts w:ascii="-webkit-standard" w:eastAsia="-webkit-standard" w:hAnsi="-webkit-standard" w:cs="-webkit-standard"/>
          <w:color w:val="000000"/>
          <w:sz w:val="23"/>
          <w:szCs w:val="23"/>
        </w:rPr>
      </w:pPr>
      <w:r>
        <w:rPr>
          <w:rFonts w:ascii="-webkit-standard" w:eastAsia="-webkit-standard" w:hAnsi="-webkit-standard" w:cs="-webkit-standard"/>
          <w:color w:val="000000"/>
          <w:sz w:val="23"/>
          <w:szCs w:val="23"/>
        </w:rPr>
        <w:t>La commission, à partir des besoins identifiés sur le terrain, propose au Conseil scientifique un sujet de travail afin qu’il en valide la pertinence scientifique et la faisabilité. À ce titre, le Conseil scientifique est chargé de formuler, le cas échéant</w:t>
      </w:r>
      <w:r>
        <w:rPr>
          <w:rFonts w:ascii="-webkit-standard" w:eastAsia="-webkit-standard" w:hAnsi="-webkit-standard" w:cs="-webkit-standard"/>
          <w:color w:val="000000"/>
          <w:sz w:val="23"/>
          <w:szCs w:val="23"/>
        </w:rPr>
        <w:t>, des ajustements du sujet au regard des données scientifiques, de proposer des références, de suggérer une méthodologie de travail (si adéquat), d’émettre des réserves sur la pertinence ou la faisabilité, et éventuellement de suggérer les ressources logis</w:t>
      </w:r>
      <w:r>
        <w:rPr>
          <w:rFonts w:ascii="-webkit-standard" w:eastAsia="-webkit-standard" w:hAnsi="-webkit-standard" w:cs="-webkit-standard"/>
          <w:color w:val="000000"/>
          <w:sz w:val="23"/>
          <w:szCs w:val="23"/>
        </w:rPr>
        <w:t>tiques et humaines.</w:t>
      </w:r>
    </w:p>
    <w:p w:rsidR="00626DD6" w:rsidRDefault="00BF0433">
      <w:r>
        <w:t xml:space="preserve">Date de transmission : </w:t>
      </w:r>
      <w:r w:rsidR="0006173D">
        <w:t>04 février 2026</w:t>
      </w:r>
    </w:p>
    <w:p w:rsidR="00626DD6" w:rsidRDefault="00BF0433">
      <w:pPr>
        <w:pStyle w:val="Titre2"/>
        <w:jc w:val="center"/>
        <w:rPr>
          <w:b w:val="0"/>
          <w:bCs w:val="0"/>
          <w:i/>
          <w:iCs/>
          <w:color w:val="000000"/>
        </w:rPr>
      </w:pPr>
      <w:r>
        <w:rPr>
          <w:b w:val="0"/>
          <w:bCs w:val="0"/>
          <w:i/>
          <w:iCs/>
          <w:color w:val="000000"/>
        </w:rPr>
        <w:t>Partie réservée à la commission demandeuse</w:t>
      </w:r>
    </w:p>
    <w:p w:rsidR="00626DD6" w:rsidRDefault="00BF0433">
      <w:r>
        <w:rPr>
          <w:noProof/>
        </w:rPr>
        <mc:AlternateContent>
          <mc:Choice Requires="wps">
            <w:drawing>
              <wp:anchor distT="0" distB="0" distL="114300" distR="114300" simplePos="0" relativeHeight="251658240" behindDoc="0" locked="0" layoutInCell="1" hidden="0" allowOverlap="1">
                <wp:simplePos x="0" y="0"/>
                <wp:positionH relativeFrom="column">
                  <wp:posOffset>-12698</wp:posOffset>
                </wp:positionH>
                <wp:positionV relativeFrom="paragraph">
                  <wp:posOffset>24765</wp:posOffset>
                </wp:positionV>
                <wp:extent cx="0" cy="25400"/>
                <wp:effectExtent l="0" t="0" r="0" b="0"/>
                <wp:wrapNone/>
                <wp:docPr id="1074198472" name="Connecteur droit avec flèche 1074198472"/>
                <wp:cNvGraphicFramePr/>
                <a:graphic xmlns:a="http://schemas.openxmlformats.org/drawingml/2006/main">
                  <a:graphicData uri="http://schemas.microsoft.com/office/word/2010/wordprocessingShape">
                    <wps:wsp>
                      <wps:cNvCnPr/>
                      <wps:spPr>
                        <a:xfrm>
                          <a:off x="2228728" y="3780000"/>
                          <a:ext cx="6234545"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-12698</wp:posOffset>
                </wp:positionH>
                <wp:positionV relativeFrom="paragraph">
                  <wp:posOffset>24765</wp:posOffset>
                </wp:positionV>
                <wp:extent cx="0" cy="25400"/>
                <wp:effectExtent b="0" l="0" r="0" t="0"/>
                <wp:wrapNone/>
                <wp:docPr id="107419847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626DD6" w:rsidRDefault="00BF0433">
      <w:pPr>
        <w:pStyle w:val="Titre2"/>
      </w:pPr>
      <w:r>
        <w:t>1. Identification de la commission demandeuse</w:t>
      </w:r>
    </w:p>
    <w:p w:rsidR="00626DD6" w:rsidRDefault="00626DD6"/>
    <w:p w:rsidR="00626DD6" w:rsidRDefault="00BF0433">
      <w:r>
        <w:t>Nom de la commission : Commission pédagogie et appareil de l</w:t>
      </w:r>
      <w:r>
        <w:t>a formation initiale</w:t>
      </w:r>
    </w:p>
    <w:p w:rsidR="00626DD6" w:rsidRDefault="00BF0433">
      <w:r>
        <w:t xml:space="preserve">Représentants : </w:t>
      </w:r>
    </w:p>
    <w:p w:rsidR="00626DD6" w:rsidRDefault="00BF0433">
      <w:pPr>
        <w:spacing w:after="0" w:line="240" w:lineRule="auto"/>
      </w:pPr>
      <w:r>
        <w:t>- Axel VICART</w:t>
      </w:r>
    </w:p>
    <w:p w:rsidR="00626DD6" w:rsidRDefault="00BF0433">
      <w:pPr>
        <w:spacing w:after="0" w:line="240" w:lineRule="auto"/>
      </w:pPr>
      <w:r>
        <w:t xml:space="preserve">- </w:t>
      </w:r>
      <w:proofErr w:type="spellStart"/>
      <w:r>
        <w:t>Lætitia</w:t>
      </w:r>
      <w:proofErr w:type="spellEnd"/>
      <w:r>
        <w:t xml:space="preserve"> MARTIN</w:t>
      </w:r>
    </w:p>
    <w:p w:rsidR="00626DD6" w:rsidRDefault="00BF0433">
      <w:pPr>
        <w:spacing w:after="0" w:line="240" w:lineRule="auto"/>
      </w:pPr>
      <w:r>
        <w:t>- Clémence LANNAY</w:t>
      </w:r>
    </w:p>
    <w:p w:rsidR="00626DD6" w:rsidRDefault="00BF0433">
      <w:pPr>
        <w:spacing w:after="0" w:line="240" w:lineRule="auto"/>
      </w:pPr>
      <w:r>
        <w:t>- Malika GESLIN</w:t>
      </w:r>
    </w:p>
    <w:p w:rsidR="00626DD6" w:rsidRDefault="00BF0433">
      <w:pPr>
        <w:spacing w:after="0" w:line="240" w:lineRule="auto"/>
      </w:pPr>
      <w:r>
        <w:t>- Marc LOCATELLI</w:t>
      </w:r>
    </w:p>
    <w:p w:rsidR="00626DD6" w:rsidRDefault="00BF0433">
      <w:pPr>
        <w:spacing w:after="0" w:line="240" w:lineRule="auto"/>
      </w:pPr>
      <w:r>
        <w:t>- Sylvia TARTAGLIA</w:t>
      </w:r>
    </w:p>
    <w:p w:rsidR="00626DD6" w:rsidRDefault="00626DD6"/>
    <w:p w:rsidR="00626DD6" w:rsidRDefault="00BF0433">
      <w:r>
        <w:t xml:space="preserve">Chef de projet impliqué sur le projet : </w:t>
      </w:r>
      <w:r w:rsidR="001C55BF">
        <w:t>Axel VICART</w:t>
      </w:r>
    </w:p>
    <w:p w:rsidR="00626DD6" w:rsidRDefault="00BF0433">
      <w:r>
        <w:t>Experts ou invités associés (le cas échéant) : ............................</w:t>
      </w:r>
    </w:p>
    <w:p w:rsidR="00626DD6" w:rsidRDefault="00626DD6">
      <w:pPr>
        <w:pStyle w:val="Titre2"/>
      </w:pPr>
    </w:p>
    <w:p w:rsidR="00626DD6" w:rsidRDefault="00626DD6"/>
    <w:p w:rsidR="00626DD6" w:rsidRDefault="00BF0433">
      <w:pPr>
        <w:pStyle w:val="Titre2"/>
      </w:pPr>
      <w:r>
        <w:lastRenderedPageBreak/>
        <w:t>2. Sujet traité</w:t>
      </w:r>
    </w:p>
    <w:p w:rsidR="00626DD6" w:rsidRDefault="00626DD6"/>
    <w:p w:rsidR="00626DD6" w:rsidRPr="00635514" w:rsidRDefault="00BF0433">
      <w:pPr>
        <w:rPr>
          <w:rFonts w:asciiTheme="minorHAnsi" w:hAnsiTheme="minorHAnsi"/>
        </w:rPr>
      </w:pPr>
      <w:r w:rsidRPr="00635514">
        <w:rPr>
          <w:rFonts w:asciiTheme="minorHAnsi" w:hAnsiTheme="minorHAnsi"/>
          <w:u w:val="single"/>
        </w:rPr>
        <w:t>Titre du sujet</w:t>
      </w:r>
      <w:r w:rsidRPr="00635514">
        <w:rPr>
          <w:rFonts w:asciiTheme="minorHAnsi" w:hAnsiTheme="minorHAnsi"/>
        </w:rPr>
        <w:t xml:space="preserve"> : Processus pédagogique du mémoire de fin d’études en ostéopathie</w:t>
      </w:r>
    </w:p>
    <w:p w:rsidR="00626DD6" w:rsidRPr="00635514" w:rsidRDefault="00BF0433">
      <w:pPr>
        <w:pStyle w:val="Titre2"/>
        <w:rPr>
          <w:rFonts w:asciiTheme="minorHAnsi" w:hAnsiTheme="minorHAnsi"/>
          <w:b w:val="0"/>
          <w:bCs w:val="0"/>
          <w:iCs/>
          <w:color w:val="000000"/>
          <w:sz w:val="22"/>
          <w:szCs w:val="22"/>
          <w:u w:val="single"/>
        </w:rPr>
      </w:pPr>
      <w:r w:rsidRPr="00635514">
        <w:rPr>
          <w:rFonts w:asciiTheme="minorHAnsi" w:hAnsiTheme="minorHAnsi"/>
          <w:b w:val="0"/>
          <w:bCs w:val="0"/>
          <w:iCs/>
          <w:color w:val="000000"/>
          <w:sz w:val="22"/>
          <w:szCs w:val="22"/>
          <w:u w:val="single"/>
        </w:rPr>
        <w:t>Contexte :</w:t>
      </w:r>
    </w:p>
    <w:p w:rsidR="00626DD6" w:rsidRPr="00635514" w:rsidRDefault="00635514">
      <w:pPr>
        <w:rPr>
          <w:rFonts w:asciiTheme="minorHAnsi" w:hAnsiTheme="minorHAnsi"/>
        </w:rPr>
      </w:pPr>
      <w:r>
        <w:rPr>
          <w:rFonts w:asciiTheme="minorHAnsi" w:hAnsiTheme="minorHAnsi"/>
        </w:rPr>
        <w:t>T</w:t>
      </w:r>
      <w:r w:rsidR="00BF0433" w:rsidRPr="00635514">
        <w:rPr>
          <w:rFonts w:asciiTheme="minorHAnsi" w:hAnsiTheme="minorHAnsi"/>
        </w:rPr>
        <w:t xml:space="preserve">rès grande hétérogénéité </w:t>
      </w:r>
      <w:r>
        <w:rPr>
          <w:rFonts w:asciiTheme="minorHAnsi" w:hAnsiTheme="minorHAnsi"/>
        </w:rPr>
        <w:t xml:space="preserve">observée entre les membres de ce projet </w:t>
      </w:r>
      <w:r w:rsidR="00BF0433" w:rsidRPr="00635514">
        <w:rPr>
          <w:rFonts w:asciiTheme="minorHAnsi" w:hAnsiTheme="minorHAnsi"/>
        </w:rPr>
        <w:t xml:space="preserve">dans la forme et les exigences de validation des mémoires de fin d’études en ostéopathie pouvant impacter la qualité de l’apprentissage de la démarche scientifique des étudiant.es ostéopathes </w:t>
      </w:r>
    </w:p>
    <w:p w:rsidR="00626DD6" w:rsidRPr="00635514" w:rsidRDefault="00BF0433">
      <w:pPr>
        <w:rPr>
          <w:rFonts w:asciiTheme="minorHAnsi" w:hAnsiTheme="minorHAnsi"/>
          <w:u w:val="single"/>
        </w:rPr>
      </w:pPr>
      <w:r w:rsidRPr="00635514">
        <w:rPr>
          <w:rFonts w:asciiTheme="minorHAnsi" w:hAnsiTheme="minorHAnsi"/>
          <w:u w:val="single"/>
        </w:rPr>
        <w:t>Objectif :</w:t>
      </w:r>
    </w:p>
    <w:p w:rsidR="00626DD6" w:rsidRPr="00635514" w:rsidRDefault="00BF0433">
      <w:pPr>
        <w:rPr>
          <w:rFonts w:asciiTheme="minorHAnsi" w:hAnsiTheme="minorHAnsi"/>
        </w:rPr>
      </w:pPr>
      <w:r w:rsidRPr="00635514">
        <w:rPr>
          <w:rFonts w:asciiTheme="minorHAnsi" w:hAnsiTheme="minorHAnsi"/>
        </w:rPr>
        <w:t>Produire des recommandat</w:t>
      </w:r>
      <w:r w:rsidRPr="00635514">
        <w:rPr>
          <w:rFonts w:asciiTheme="minorHAnsi" w:hAnsiTheme="minorHAnsi"/>
        </w:rPr>
        <w:t>ions aux trois étapes principales de construction, supervision, évaluation et diffusion des mémoires de fin d’études en ostéopathie. Une méthode Delphi serait utilisée avec une première phase d’identification des recommandations, puis des tours de vote suc</w:t>
      </w:r>
      <w:r w:rsidRPr="00635514">
        <w:rPr>
          <w:rFonts w:asciiTheme="minorHAnsi" w:hAnsiTheme="minorHAnsi"/>
        </w:rPr>
        <w:t xml:space="preserve">cessifs avec correction et reformulation des énoncés. Un seuil de 80% de tous les participants à ce groupe serait utilisé pour définir un consensus. </w:t>
      </w:r>
    </w:p>
    <w:p w:rsidR="00626DD6" w:rsidRPr="00635514" w:rsidRDefault="00BF0433">
      <w:pPr>
        <w:rPr>
          <w:rFonts w:asciiTheme="minorHAnsi" w:hAnsiTheme="minorHAnsi"/>
        </w:rPr>
      </w:pPr>
      <w:r w:rsidRPr="00635514">
        <w:rPr>
          <w:rFonts w:asciiTheme="minorHAnsi" w:hAnsiTheme="minorHAnsi"/>
        </w:rPr>
        <w:t>Plusieurs thématiques relatives à aux étapes de construction, supervision</w:t>
      </w:r>
      <w:r w:rsidR="009228CC">
        <w:rPr>
          <w:rFonts w:asciiTheme="minorHAnsi" w:hAnsiTheme="minorHAnsi"/>
        </w:rPr>
        <w:t xml:space="preserve">, </w:t>
      </w:r>
      <w:r w:rsidRPr="00635514">
        <w:rPr>
          <w:rFonts w:asciiTheme="minorHAnsi" w:hAnsiTheme="minorHAnsi"/>
        </w:rPr>
        <w:t xml:space="preserve">évaluation </w:t>
      </w:r>
      <w:r w:rsidR="009228CC">
        <w:rPr>
          <w:rFonts w:asciiTheme="minorHAnsi" w:hAnsiTheme="minorHAnsi"/>
        </w:rPr>
        <w:t xml:space="preserve">et diffusion </w:t>
      </w:r>
      <w:r w:rsidRPr="00635514">
        <w:rPr>
          <w:rFonts w:asciiTheme="minorHAnsi" w:hAnsiTheme="minorHAnsi"/>
        </w:rPr>
        <w:t>ont été identifiée</w:t>
      </w:r>
      <w:r w:rsidRPr="00635514">
        <w:rPr>
          <w:rFonts w:asciiTheme="minorHAnsi" w:hAnsiTheme="minorHAnsi"/>
        </w:rPr>
        <w:t>s par des discussions informelles :</w:t>
      </w:r>
    </w:p>
    <w:p w:rsidR="00626DD6" w:rsidRPr="00635514" w:rsidRDefault="00626DD6">
      <w:pPr>
        <w:rPr>
          <w:rFonts w:asciiTheme="minorHAnsi" w:hAnsiTheme="minorHAnsi"/>
        </w:rPr>
      </w:pPr>
    </w:p>
    <w:p w:rsidR="00626DD6" w:rsidRPr="009228CC" w:rsidRDefault="00BF0433">
      <w:pPr>
        <w:spacing w:line="240" w:lineRule="auto"/>
        <w:rPr>
          <w:rFonts w:asciiTheme="minorHAnsi" w:hAnsiTheme="minorHAnsi"/>
          <w:u w:val="single"/>
        </w:rPr>
      </w:pPr>
      <w:r w:rsidRPr="009228CC">
        <w:rPr>
          <w:rFonts w:asciiTheme="minorHAnsi" w:hAnsiTheme="minorHAnsi"/>
          <w:u w:val="single"/>
        </w:rPr>
        <w:t>Construction du mémoire :</w:t>
      </w:r>
    </w:p>
    <w:p w:rsidR="00626DD6" w:rsidRPr="00635514" w:rsidRDefault="00BF0433">
      <w:pPr>
        <w:spacing w:line="240" w:lineRule="auto"/>
        <w:rPr>
          <w:rFonts w:asciiTheme="minorHAnsi" w:hAnsiTheme="minorHAnsi"/>
        </w:rPr>
      </w:pPr>
      <w:r w:rsidRPr="00635514">
        <w:rPr>
          <w:rFonts w:asciiTheme="minorHAnsi" w:hAnsiTheme="minorHAnsi"/>
        </w:rPr>
        <w:t>- Objectifs pédagogiques du mémoire pour l’inclure dans un référentiel de compétences</w:t>
      </w:r>
    </w:p>
    <w:p w:rsidR="00626DD6" w:rsidRPr="00635514" w:rsidRDefault="00BF0433">
      <w:pPr>
        <w:spacing w:line="240" w:lineRule="auto"/>
        <w:rPr>
          <w:rFonts w:asciiTheme="minorHAnsi" w:hAnsiTheme="minorHAnsi"/>
        </w:rPr>
      </w:pPr>
      <w:r w:rsidRPr="00635514">
        <w:rPr>
          <w:rFonts w:asciiTheme="minorHAnsi" w:hAnsiTheme="minorHAnsi"/>
        </w:rPr>
        <w:t>- Objectif d’amélioration de la valeur de production scientifique des mémoires</w:t>
      </w:r>
    </w:p>
    <w:p w:rsidR="00626DD6" w:rsidRPr="00635514" w:rsidRDefault="00BF0433">
      <w:pPr>
        <w:spacing w:line="240" w:lineRule="auto"/>
        <w:rPr>
          <w:rFonts w:asciiTheme="minorHAnsi" w:hAnsiTheme="minorHAnsi"/>
        </w:rPr>
      </w:pPr>
      <w:r w:rsidRPr="00635514">
        <w:rPr>
          <w:rFonts w:asciiTheme="minorHAnsi" w:hAnsiTheme="minorHAnsi"/>
        </w:rPr>
        <w:t xml:space="preserve">- Organisation des cours au </w:t>
      </w:r>
      <w:r w:rsidRPr="00635514">
        <w:rPr>
          <w:rFonts w:asciiTheme="minorHAnsi" w:hAnsiTheme="minorHAnsi"/>
        </w:rPr>
        <w:t>sein de la formation (contenu et répartition) en cohérence avec les plannings de réalisation</w:t>
      </w:r>
    </w:p>
    <w:p w:rsidR="00626DD6" w:rsidRPr="00635514" w:rsidRDefault="00BF0433">
      <w:pPr>
        <w:spacing w:line="240" w:lineRule="auto"/>
        <w:rPr>
          <w:rFonts w:asciiTheme="minorHAnsi" w:hAnsiTheme="minorHAnsi"/>
        </w:rPr>
      </w:pPr>
      <w:r w:rsidRPr="00635514">
        <w:rPr>
          <w:rFonts w:asciiTheme="minorHAnsi" w:hAnsiTheme="minorHAnsi"/>
        </w:rPr>
        <w:t>- Thématiques autorisées pour un mémoire de fin d’études en ostéopathie</w:t>
      </w:r>
    </w:p>
    <w:p w:rsidR="00626DD6" w:rsidRPr="00635514" w:rsidRDefault="00BF0433">
      <w:pPr>
        <w:spacing w:line="240" w:lineRule="auto"/>
        <w:rPr>
          <w:rFonts w:asciiTheme="minorHAnsi" w:hAnsiTheme="minorHAnsi"/>
        </w:rPr>
      </w:pPr>
      <w:r w:rsidRPr="00635514">
        <w:rPr>
          <w:rFonts w:asciiTheme="minorHAnsi" w:hAnsiTheme="minorHAnsi"/>
        </w:rPr>
        <w:t>- Schémas méthodologiques autorisés pour un mémoire de fin d’études</w:t>
      </w:r>
    </w:p>
    <w:p w:rsidR="00626DD6" w:rsidRPr="00635514" w:rsidRDefault="00BF0433">
      <w:pPr>
        <w:spacing w:line="240" w:lineRule="auto"/>
        <w:rPr>
          <w:rFonts w:asciiTheme="minorHAnsi" w:hAnsiTheme="minorHAnsi"/>
        </w:rPr>
      </w:pPr>
      <w:r w:rsidRPr="00635514">
        <w:rPr>
          <w:rFonts w:asciiTheme="minorHAnsi" w:hAnsiTheme="minorHAnsi"/>
        </w:rPr>
        <w:t>- Organisation du travail en solitaire ou en groupe</w:t>
      </w:r>
    </w:p>
    <w:p w:rsidR="00626DD6" w:rsidRPr="00635514" w:rsidRDefault="00BF0433">
      <w:pPr>
        <w:spacing w:line="240" w:lineRule="auto"/>
        <w:rPr>
          <w:rFonts w:asciiTheme="minorHAnsi" w:hAnsiTheme="minorHAnsi"/>
        </w:rPr>
      </w:pPr>
      <w:r w:rsidRPr="00635514">
        <w:rPr>
          <w:rFonts w:asciiTheme="minorHAnsi" w:hAnsiTheme="minorHAnsi"/>
        </w:rPr>
        <w:t>- Place de l’intelligence artificielle dans le processus de création et rédaction du mémoire</w:t>
      </w:r>
    </w:p>
    <w:p w:rsidR="00626DD6" w:rsidRPr="00635514" w:rsidRDefault="00BF0433">
      <w:pPr>
        <w:spacing w:line="240" w:lineRule="auto"/>
        <w:rPr>
          <w:rFonts w:asciiTheme="minorHAnsi" w:hAnsiTheme="minorHAnsi"/>
        </w:rPr>
      </w:pPr>
      <w:r w:rsidRPr="00635514">
        <w:rPr>
          <w:rFonts w:asciiTheme="minorHAnsi" w:hAnsiTheme="minorHAnsi"/>
        </w:rPr>
        <w:t>- Étapes de construction du mémoire : rédaction et soutenance orale</w:t>
      </w:r>
    </w:p>
    <w:p w:rsidR="00626DD6" w:rsidRPr="00635514" w:rsidRDefault="00BF0433">
      <w:pPr>
        <w:spacing w:line="240" w:lineRule="auto"/>
        <w:rPr>
          <w:rFonts w:asciiTheme="minorHAnsi" w:hAnsiTheme="minorHAnsi"/>
        </w:rPr>
      </w:pPr>
      <w:r w:rsidRPr="00635514">
        <w:rPr>
          <w:rFonts w:asciiTheme="minorHAnsi" w:hAnsiTheme="minorHAnsi"/>
        </w:rPr>
        <w:t xml:space="preserve">- </w:t>
      </w:r>
      <w:proofErr w:type="spellStart"/>
      <w:r w:rsidRPr="00635514">
        <w:rPr>
          <w:rFonts w:asciiTheme="minorHAnsi" w:hAnsiTheme="minorHAnsi"/>
        </w:rPr>
        <w:t>Rétroplannings</w:t>
      </w:r>
      <w:proofErr w:type="spellEnd"/>
      <w:r w:rsidRPr="00635514">
        <w:rPr>
          <w:rFonts w:asciiTheme="minorHAnsi" w:hAnsiTheme="minorHAnsi"/>
        </w:rPr>
        <w:t xml:space="preserve"> et diagrammes de Gantt pou</w:t>
      </w:r>
      <w:r w:rsidRPr="00635514">
        <w:rPr>
          <w:rFonts w:asciiTheme="minorHAnsi" w:hAnsiTheme="minorHAnsi"/>
        </w:rPr>
        <w:t xml:space="preserve">r l’étalement du projet </w:t>
      </w:r>
    </w:p>
    <w:p w:rsidR="00626DD6" w:rsidRPr="00635514" w:rsidRDefault="00BF0433">
      <w:pPr>
        <w:spacing w:line="240" w:lineRule="auto"/>
        <w:rPr>
          <w:rFonts w:asciiTheme="minorHAnsi" w:hAnsiTheme="minorHAnsi"/>
        </w:rPr>
      </w:pPr>
      <w:bookmarkStart w:id="0" w:name="_heading=h.zfic4hasg35w" w:colFirst="0" w:colLast="0"/>
      <w:bookmarkEnd w:id="0"/>
      <w:r w:rsidRPr="00635514">
        <w:rPr>
          <w:rFonts w:asciiTheme="minorHAnsi" w:hAnsiTheme="minorHAnsi"/>
        </w:rPr>
        <w:t>- Structuration du document rédigé favorisant sa diffusion scientifique</w:t>
      </w:r>
    </w:p>
    <w:p w:rsidR="00626DD6" w:rsidRPr="00635514" w:rsidRDefault="00626DD6">
      <w:pPr>
        <w:rPr>
          <w:rFonts w:asciiTheme="minorHAnsi" w:hAnsiTheme="minorHAnsi"/>
        </w:rPr>
      </w:pPr>
    </w:p>
    <w:p w:rsidR="00626DD6" w:rsidRDefault="00626DD6">
      <w:pPr>
        <w:rPr>
          <w:rFonts w:asciiTheme="minorHAnsi" w:hAnsiTheme="minorHAnsi"/>
        </w:rPr>
      </w:pPr>
    </w:p>
    <w:p w:rsidR="009228CC" w:rsidRPr="00635514" w:rsidRDefault="009228CC">
      <w:pPr>
        <w:rPr>
          <w:rFonts w:asciiTheme="minorHAnsi" w:hAnsiTheme="minorHAnsi"/>
        </w:rPr>
      </w:pPr>
    </w:p>
    <w:p w:rsidR="00626DD6" w:rsidRPr="009228CC" w:rsidRDefault="00BF0433">
      <w:pPr>
        <w:spacing w:line="240" w:lineRule="auto"/>
        <w:rPr>
          <w:rFonts w:asciiTheme="minorHAnsi" w:hAnsiTheme="minorHAnsi"/>
          <w:u w:val="single"/>
        </w:rPr>
      </w:pPr>
      <w:r w:rsidRPr="009228CC">
        <w:rPr>
          <w:rFonts w:asciiTheme="minorHAnsi" w:hAnsiTheme="minorHAnsi"/>
          <w:u w:val="single"/>
        </w:rPr>
        <w:lastRenderedPageBreak/>
        <w:t xml:space="preserve">Supervision du mémoire : </w:t>
      </w:r>
    </w:p>
    <w:p w:rsidR="00626DD6" w:rsidRPr="00635514" w:rsidRDefault="00BF0433">
      <w:pPr>
        <w:spacing w:line="240" w:lineRule="auto"/>
        <w:rPr>
          <w:rFonts w:asciiTheme="minorHAnsi" w:hAnsiTheme="minorHAnsi"/>
        </w:rPr>
      </w:pPr>
      <w:r w:rsidRPr="00635514">
        <w:rPr>
          <w:rFonts w:asciiTheme="minorHAnsi" w:hAnsiTheme="minorHAnsi"/>
        </w:rPr>
        <w:t>- Critères/compétences nécessaires pour occuper un poste de supervision des mémoires</w:t>
      </w:r>
    </w:p>
    <w:p w:rsidR="00626DD6" w:rsidRPr="00635514" w:rsidRDefault="00BF0433">
      <w:pPr>
        <w:spacing w:line="240" w:lineRule="auto"/>
        <w:rPr>
          <w:rFonts w:asciiTheme="minorHAnsi" w:hAnsiTheme="minorHAnsi"/>
        </w:rPr>
      </w:pPr>
      <w:r w:rsidRPr="00635514">
        <w:rPr>
          <w:rFonts w:asciiTheme="minorHAnsi" w:hAnsiTheme="minorHAnsi"/>
        </w:rPr>
        <w:t>- Développement professionnel continu des supe</w:t>
      </w:r>
      <w:r w:rsidRPr="00635514">
        <w:rPr>
          <w:rFonts w:asciiTheme="minorHAnsi" w:hAnsiTheme="minorHAnsi"/>
        </w:rPr>
        <w:t>rviseurs de mémoires</w:t>
      </w:r>
    </w:p>
    <w:p w:rsidR="00626DD6" w:rsidRPr="00635514" w:rsidRDefault="00BF0433">
      <w:pPr>
        <w:spacing w:line="240" w:lineRule="auto"/>
        <w:rPr>
          <w:rFonts w:asciiTheme="minorHAnsi" w:hAnsiTheme="minorHAnsi"/>
        </w:rPr>
      </w:pPr>
      <w:r w:rsidRPr="00635514">
        <w:rPr>
          <w:rFonts w:asciiTheme="minorHAnsi" w:hAnsiTheme="minorHAnsi"/>
        </w:rPr>
        <w:t>- Rétrocontrôle du suivi des superviseurs</w:t>
      </w:r>
    </w:p>
    <w:p w:rsidR="00626DD6" w:rsidRPr="00635514" w:rsidRDefault="00626DD6">
      <w:pPr>
        <w:rPr>
          <w:rFonts w:asciiTheme="minorHAnsi" w:hAnsiTheme="minorHAnsi"/>
        </w:rPr>
      </w:pPr>
    </w:p>
    <w:p w:rsidR="00626DD6" w:rsidRPr="009228CC" w:rsidRDefault="00BF0433">
      <w:pPr>
        <w:spacing w:line="240" w:lineRule="auto"/>
        <w:rPr>
          <w:rFonts w:asciiTheme="minorHAnsi" w:hAnsiTheme="minorHAnsi"/>
          <w:u w:val="single"/>
        </w:rPr>
      </w:pPr>
      <w:r w:rsidRPr="009228CC">
        <w:rPr>
          <w:rFonts w:asciiTheme="minorHAnsi" w:hAnsiTheme="minorHAnsi"/>
          <w:u w:val="single"/>
        </w:rPr>
        <w:t>Évaluation :</w:t>
      </w:r>
    </w:p>
    <w:p w:rsidR="00626DD6" w:rsidRPr="00635514" w:rsidRDefault="00BF0433">
      <w:pPr>
        <w:spacing w:line="240" w:lineRule="auto"/>
        <w:rPr>
          <w:rFonts w:asciiTheme="minorHAnsi" w:hAnsiTheme="minorHAnsi"/>
        </w:rPr>
      </w:pPr>
      <w:r w:rsidRPr="00635514">
        <w:rPr>
          <w:rFonts w:asciiTheme="minorHAnsi" w:hAnsiTheme="minorHAnsi"/>
        </w:rPr>
        <w:t>- Uniformisation des grilles de correction des mémoires à l’échelle nationale</w:t>
      </w:r>
    </w:p>
    <w:p w:rsidR="00626DD6" w:rsidRPr="00635514" w:rsidRDefault="00BF0433">
      <w:pPr>
        <w:spacing w:line="240" w:lineRule="auto"/>
        <w:rPr>
          <w:rFonts w:asciiTheme="minorHAnsi" w:hAnsiTheme="minorHAnsi"/>
        </w:rPr>
      </w:pPr>
      <w:r w:rsidRPr="00635514">
        <w:rPr>
          <w:rFonts w:asciiTheme="minorHAnsi" w:hAnsiTheme="minorHAnsi"/>
        </w:rPr>
        <w:t>- Alignement des grilles de correction avec les objectifs spécifiques aux écoles</w:t>
      </w:r>
    </w:p>
    <w:p w:rsidR="00626DD6" w:rsidRPr="00635514" w:rsidRDefault="00BF0433">
      <w:pPr>
        <w:spacing w:line="240" w:lineRule="auto"/>
        <w:rPr>
          <w:rFonts w:asciiTheme="minorHAnsi" w:hAnsiTheme="minorHAnsi"/>
        </w:rPr>
      </w:pPr>
      <w:r w:rsidRPr="00635514">
        <w:rPr>
          <w:rFonts w:asciiTheme="minorHAnsi" w:hAnsiTheme="minorHAnsi"/>
        </w:rPr>
        <w:t>- Ratios de notation entre l’évaluation du document écrit et la soutenance en vue de la validation du processus</w:t>
      </w:r>
    </w:p>
    <w:p w:rsidR="00626DD6" w:rsidRPr="00635514" w:rsidRDefault="00BF0433">
      <w:pPr>
        <w:spacing w:line="240" w:lineRule="auto"/>
        <w:rPr>
          <w:rFonts w:asciiTheme="minorHAnsi" w:hAnsiTheme="minorHAnsi"/>
        </w:rPr>
      </w:pPr>
      <w:r w:rsidRPr="00635514">
        <w:rPr>
          <w:rFonts w:asciiTheme="minorHAnsi" w:hAnsiTheme="minorHAnsi"/>
        </w:rPr>
        <w:t>- Répartition des jurys internes et externes aux écoles pour les évaluations des mémoires rédigés et des soutenances</w:t>
      </w:r>
    </w:p>
    <w:p w:rsidR="00626DD6" w:rsidRPr="00635514" w:rsidRDefault="00BF0433">
      <w:pPr>
        <w:spacing w:line="240" w:lineRule="auto"/>
        <w:rPr>
          <w:rFonts w:asciiTheme="minorHAnsi" w:hAnsiTheme="minorHAnsi"/>
        </w:rPr>
      </w:pPr>
      <w:r w:rsidRPr="00635514">
        <w:rPr>
          <w:rFonts w:asciiTheme="minorHAnsi" w:hAnsiTheme="minorHAnsi"/>
        </w:rPr>
        <w:t>- Intégration du mémoire de</w:t>
      </w:r>
      <w:r w:rsidRPr="00635514">
        <w:rPr>
          <w:rFonts w:asciiTheme="minorHAnsi" w:hAnsiTheme="minorHAnsi"/>
        </w:rPr>
        <w:t xml:space="preserve"> fin d’études au système des unités d’enseignement</w:t>
      </w:r>
    </w:p>
    <w:p w:rsidR="00626DD6" w:rsidRPr="00635514" w:rsidRDefault="00626DD6">
      <w:pPr>
        <w:rPr>
          <w:rFonts w:asciiTheme="minorHAnsi" w:hAnsiTheme="minorHAnsi"/>
        </w:rPr>
      </w:pPr>
    </w:p>
    <w:p w:rsidR="00626DD6" w:rsidRPr="009228CC" w:rsidRDefault="00BF0433">
      <w:pPr>
        <w:rPr>
          <w:rFonts w:asciiTheme="minorHAnsi" w:hAnsiTheme="minorHAnsi"/>
          <w:u w:val="single"/>
        </w:rPr>
      </w:pPr>
      <w:r w:rsidRPr="009228CC">
        <w:rPr>
          <w:rFonts w:asciiTheme="minorHAnsi" w:hAnsiTheme="minorHAnsi"/>
          <w:u w:val="single"/>
        </w:rPr>
        <w:t>Diffusion :</w:t>
      </w:r>
    </w:p>
    <w:p w:rsidR="00626DD6" w:rsidRPr="00635514" w:rsidRDefault="00BF0433">
      <w:pPr>
        <w:rPr>
          <w:rFonts w:asciiTheme="minorHAnsi" w:hAnsiTheme="minorHAnsi"/>
        </w:rPr>
      </w:pPr>
      <w:r w:rsidRPr="00635514">
        <w:rPr>
          <w:rFonts w:asciiTheme="minorHAnsi" w:hAnsiTheme="minorHAnsi"/>
        </w:rPr>
        <w:t>- Identification/création d’une base de données nationale de recensement des mémoires de fin d’études en ostéopathie</w:t>
      </w:r>
    </w:p>
    <w:p w:rsidR="00626DD6" w:rsidRPr="00635514" w:rsidRDefault="00BF0433">
      <w:pPr>
        <w:rPr>
          <w:rFonts w:asciiTheme="minorHAnsi" w:hAnsiTheme="minorHAnsi"/>
        </w:rPr>
      </w:pPr>
      <w:r w:rsidRPr="00635514">
        <w:rPr>
          <w:rFonts w:asciiTheme="minorHAnsi" w:hAnsiTheme="minorHAnsi"/>
        </w:rPr>
        <w:t xml:space="preserve">- Objectifs minimaux de valorisation des mémoires par les écoles </w:t>
      </w:r>
    </w:p>
    <w:p w:rsidR="00626DD6" w:rsidRDefault="00626DD6"/>
    <w:p w:rsidR="00626DD6" w:rsidRPr="00BF0433" w:rsidRDefault="009F5424">
      <w:pPr>
        <w:rPr>
          <w:u w:val="single"/>
        </w:rPr>
      </w:pPr>
      <w:r w:rsidRPr="00BF0433">
        <w:rPr>
          <w:u w:val="single"/>
        </w:rPr>
        <w:t>Calendrier :</w:t>
      </w:r>
    </w:p>
    <w:p w:rsidR="009F5424" w:rsidRDefault="009F5424">
      <w:r>
        <w:t xml:space="preserve">Nous prévoyons plusieurs réunions d’identification des thématiques et des recommandations étalées jusqu’à mai. Puis nous profiterons de la période de l’été pour procéder aux séries de votes avec reformulation des énoncés de faisant pas consensus. </w:t>
      </w:r>
    </w:p>
    <w:p w:rsidR="009F5424" w:rsidRDefault="009F5424">
      <w:r>
        <w:t xml:space="preserve">L’objectif est de pouvoir soumettre une liste de recommandations d’ici à octobre 2026. </w:t>
      </w:r>
    </w:p>
    <w:p w:rsidR="00626DD6" w:rsidRDefault="00626DD6"/>
    <w:p w:rsidR="00BF0433" w:rsidRDefault="00BF0433">
      <w:bookmarkStart w:id="1" w:name="_GoBack"/>
      <w:bookmarkEnd w:id="1"/>
    </w:p>
    <w:p w:rsidR="00626DD6" w:rsidRDefault="00BF0433">
      <w:pPr>
        <w:pStyle w:val="Titre2"/>
        <w:rPr>
          <w:b w:val="0"/>
          <w:bCs w:val="0"/>
          <w:i/>
          <w:iCs/>
          <w:color w:val="000000"/>
        </w:rPr>
      </w:pPr>
      <w:r>
        <w:rPr>
          <w:b w:val="0"/>
          <w:bCs w:val="0"/>
          <w:i/>
          <w:iCs/>
          <w:color w:val="000000"/>
        </w:rPr>
        <w:lastRenderedPageBreak/>
        <w:t>Parti</w:t>
      </w:r>
      <w:r>
        <w:rPr>
          <w:b w:val="0"/>
          <w:bCs w:val="0"/>
          <w:i/>
          <w:iCs/>
          <w:color w:val="000000"/>
        </w:rPr>
        <w:t>e réservée au conseil scientifique</w:t>
      </w:r>
    </w:p>
    <w:p w:rsidR="00626DD6" w:rsidRDefault="00BF0433">
      <w:pPr>
        <w:pStyle w:val="Titre2"/>
      </w:pPr>
      <w:r>
        <w:rPr>
          <w:noProof/>
        </w:rPr>
        <mc:AlternateContent>
          <mc:Choice Requires="wps">
            <w:drawing>
              <wp:anchor distT="0" distB="0" distL="114300" distR="114300" simplePos="0" relativeHeight="251659264" behindDoc="0" locked="0" layoutInCell="1" hidden="0" allowOverlap="1">
                <wp:simplePos x="0" y="0"/>
                <wp:positionH relativeFrom="column">
                  <wp:posOffset>-19626</wp:posOffset>
                </wp:positionH>
                <wp:positionV relativeFrom="paragraph">
                  <wp:posOffset>73891</wp:posOffset>
                </wp:positionV>
                <wp:extent cx="0" cy="25400"/>
                <wp:effectExtent l="0" t="0" r="0" b="0"/>
                <wp:wrapNone/>
                <wp:docPr id="1074198471" name="Connecteur droit avec flèche 1074198471"/>
                <wp:cNvGraphicFramePr/>
                <a:graphic xmlns:a="http://schemas.openxmlformats.org/drawingml/2006/main">
                  <a:graphicData uri="http://schemas.microsoft.com/office/word/2010/wordprocessingShape">
                    <wps:wsp>
                      <wps:cNvCnPr/>
                      <wps:spPr>
                        <a:xfrm>
                          <a:off x="2228728" y="3780000"/>
                          <a:ext cx="6234545" cy="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-19626</wp:posOffset>
                </wp:positionH>
                <wp:positionV relativeFrom="paragraph">
                  <wp:posOffset>73891</wp:posOffset>
                </wp:positionV>
                <wp:extent cx="0" cy="25400"/>
                <wp:effectExtent b="0" l="0" r="0" t="0"/>
                <wp:wrapNone/>
                <wp:docPr id="107419847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626DD6" w:rsidRDefault="00BF0433">
      <w:pPr>
        <w:pStyle w:val="Titre2"/>
        <w:numPr>
          <w:ilvl w:val="0"/>
          <w:numId w:val="1"/>
        </w:numPr>
      </w:pPr>
      <w:r>
        <w:t>Commentaires généraux</w:t>
      </w:r>
    </w:p>
    <w:p w:rsidR="00626DD6" w:rsidRDefault="00626DD6"/>
    <w:p w:rsidR="00626DD6" w:rsidRDefault="00626DD6"/>
    <w:p w:rsidR="00626DD6" w:rsidRDefault="00626DD6"/>
    <w:p w:rsidR="00626DD6" w:rsidRDefault="00626DD6"/>
    <w:p w:rsidR="00626DD6" w:rsidRDefault="00BF0433">
      <w:pPr>
        <w:pStyle w:val="Titre2"/>
        <w:numPr>
          <w:ilvl w:val="0"/>
          <w:numId w:val="1"/>
        </w:numPr>
      </w:pPr>
      <w:r>
        <w:t>Méthodologie proposée (le cas échéant)</w:t>
      </w:r>
    </w:p>
    <w:p w:rsidR="00626DD6" w:rsidRDefault="00626DD6"/>
    <w:p w:rsidR="00626DD6" w:rsidRDefault="00626DD6"/>
    <w:p w:rsidR="00626DD6" w:rsidRDefault="00626DD6"/>
    <w:p w:rsidR="00626DD6" w:rsidRDefault="00626DD6"/>
    <w:p w:rsidR="00626DD6" w:rsidRDefault="00BF0433">
      <w:pPr>
        <w:pStyle w:val="Titre2"/>
        <w:numPr>
          <w:ilvl w:val="0"/>
          <w:numId w:val="1"/>
        </w:numPr>
      </w:pPr>
      <w:r>
        <w:t xml:space="preserve">Références identifiées (le cas échéant) </w:t>
      </w:r>
    </w:p>
    <w:p w:rsidR="00626DD6" w:rsidRDefault="00626DD6"/>
    <w:p w:rsidR="00626DD6" w:rsidRDefault="00626DD6"/>
    <w:p w:rsidR="00626DD6" w:rsidRDefault="00626DD6"/>
    <w:p w:rsidR="00626DD6" w:rsidRDefault="00626DD6"/>
    <w:p w:rsidR="00626DD6" w:rsidRDefault="00BF0433">
      <w:pPr>
        <w:pStyle w:val="Titre2"/>
        <w:numPr>
          <w:ilvl w:val="0"/>
          <w:numId w:val="1"/>
        </w:numPr>
      </w:pPr>
      <w:r>
        <w:t>Réserves ou points de vigilance (le cas échéant)</w:t>
      </w:r>
    </w:p>
    <w:p w:rsidR="00626DD6" w:rsidRDefault="00626DD6">
      <w:pPr>
        <w:pStyle w:val="Titre2"/>
        <w:ind w:left="720"/>
      </w:pPr>
    </w:p>
    <w:p w:rsidR="00626DD6" w:rsidRDefault="00626DD6"/>
    <w:p w:rsidR="00626DD6" w:rsidRDefault="00626DD6"/>
    <w:p w:rsidR="00626DD6" w:rsidRDefault="00626DD6"/>
    <w:p w:rsidR="00626DD6" w:rsidRDefault="00BF0433">
      <w:pPr>
        <w:pStyle w:val="Titre2"/>
        <w:numPr>
          <w:ilvl w:val="0"/>
          <w:numId w:val="1"/>
        </w:numPr>
      </w:pPr>
      <w:r>
        <w:t>Ressource humaine missionnée (le cas échéant)</w:t>
      </w:r>
    </w:p>
    <w:p w:rsidR="00626DD6" w:rsidRDefault="00626DD6"/>
    <w:sectPr w:rsidR="00626DD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webkit-standard">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5B2D"/>
    <w:multiLevelType w:val="multilevel"/>
    <w:tmpl w:val="3F449864"/>
    <w:lvl w:ilvl="0">
      <w:start w:val="1"/>
      <w:numFmt w:val="decimal"/>
      <w:pStyle w:val="Listepu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D6"/>
    <w:rsid w:val="00035A73"/>
    <w:rsid w:val="0006173D"/>
    <w:rsid w:val="001C55BF"/>
    <w:rsid w:val="00626DD6"/>
    <w:rsid w:val="00635514"/>
    <w:rsid w:val="009228CC"/>
    <w:rsid w:val="009F5424"/>
    <w:rsid w:val="00BF04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55F822"/>
  <w15:docId w15:val="{2D2A6585-FCD8-154B-AE32-1DD12D9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libri" w:eastAsia="Calibri" w:hAnsi="Calibri" w:cs="Calibri"/>
      <w:b/>
      <w:bCs/>
      <w:color w:val="366091"/>
      <w:sz w:val="28"/>
      <w:szCs w:val="28"/>
    </w:rPr>
  </w:style>
  <w:style w:type="paragraph" w:styleId="Titre2">
    <w:name w:val="heading 2"/>
    <w:basedOn w:val="Normal"/>
    <w:next w:val="Normal"/>
    <w:uiPriority w:val="9"/>
    <w:unhideWhenUsed/>
    <w:qFormat/>
    <w:pPr>
      <w:keepNext/>
      <w:keepLines/>
      <w:spacing w:before="200" w:after="0"/>
      <w:outlineLvl w:val="1"/>
    </w:pPr>
    <w:rPr>
      <w:rFonts w:ascii="Calibri" w:eastAsia="Calibri" w:hAnsi="Calibri" w:cs="Calibri"/>
      <w:b/>
      <w:bCs/>
      <w:color w:val="4F81BD"/>
      <w:sz w:val="26"/>
      <w:szCs w:val="26"/>
    </w:rPr>
  </w:style>
  <w:style w:type="paragraph" w:styleId="Titre3">
    <w:name w:val="heading 3"/>
    <w:basedOn w:val="Normal"/>
    <w:next w:val="Normal"/>
    <w:uiPriority w:val="9"/>
    <w:semiHidden/>
    <w:unhideWhenUsed/>
    <w:qFormat/>
    <w:pPr>
      <w:keepNext/>
      <w:keepLines/>
      <w:spacing w:before="200" w:after="0"/>
      <w:outlineLvl w:val="2"/>
    </w:pPr>
    <w:rPr>
      <w:rFonts w:ascii="Calibri" w:eastAsia="Calibri" w:hAnsi="Calibri" w:cs="Calibri"/>
      <w:b/>
      <w:bCs/>
      <w:color w:val="4F81BD"/>
    </w:rPr>
  </w:style>
  <w:style w:type="paragraph" w:styleId="Titre4">
    <w:name w:val="heading 4"/>
    <w:basedOn w:val="Normal"/>
    <w:next w:val="Normal"/>
    <w:uiPriority w:val="9"/>
    <w:semiHidden/>
    <w:unhideWhenUsed/>
    <w:qFormat/>
    <w:pPr>
      <w:keepNext/>
      <w:keepLines/>
      <w:spacing w:before="200" w:after="0"/>
      <w:outlineLvl w:val="3"/>
    </w:pPr>
    <w:rPr>
      <w:rFonts w:ascii="Calibri" w:eastAsia="Calibri" w:hAnsi="Calibri" w:cs="Calibri"/>
      <w:b/>
      <w:bCs/>
      <w:i/>
      <w:iCs/>
      <w:color w:val="4F81BD"/>
    </w:rPr>
  </w:style>
  <w:style w:type="paragraph" w:styleId="Titre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Titre6">
    <w:name w:val="heading 6"/>
    <w:basedOn w:val="Normal"/>
    <w:next w:val="Normal"/>
    <w:uiPriority w:val="9"/>
    <w:semiHidden/>
    <w:unhideWhenUsed/>
    <w:qFormat/>
    <w:pPr>
      <w:keepNext/>
      <w:keepLines/>
      <w:spacing w:before="200" w:after="0"/>
      <w:outlineLvl w:val="5"/>
    </w:pPr>
    <w:rPr>
      <w:rFonts w:ascii="Calibri" w:eastAsia="Calibri" w:hAnsi="Calibri" w:cs="Calibri"/>
      <w:i/>
      <w:iCs/>
      <w:color w:val="243F61"/>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uiPriority w:val="9"/>
    <w:rsid w:val="00FC693F"/>
    <w:rPr>
      <w:rFonts w:asciiTheme="majorHAnsi" w:eastAsiaTheme="majorEastAsia" w:hAnsiTheme="majorHAnsi" w:cstheme="majorBidi"/>
      <w:b/>
      <w:bCs/>
      <w:color w:val="4F81BD" w:themeColor="accent1"/>
    </w:rPr>
  </w:style>
  <w:style w:type="character" w:customStyle="1" w:styleId="TitreCar">
    <w:name w:val="Titre Car"/>
    <w:basedOn w:val="Policepardfaut"/>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ous-titreCar">
    <w:name w:val="Sous-titre Car"/>
    <w:basedOn w:val="Policepardfaut"/>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tabs>
        <w:tab w:val="num" w:pos="720"/>
      </w:tabs>
      <w:ind w:left="720" w:hanging="720"/>
      <w:contextualSpacing/>
    </w:pPr>
  </w:style>
  <w:style w:type="paragraph" w:styleId="Listepuces3">
    <w:name w:val="List Bullet 3"/>
    <w:basedOn w:val="Normal"/>
    <w:uiPriority w:val="99"/>
    <w:unhideWhenUsed/>
    <w:rsid w:val="00326F90"/>
    <w:pPr>
      <w:tabs>
        <w:tab w:val="num" w:pos="720"/>
      </w:tabs>
      <w:ind w:left="720" w:hanging="720"/>
      <w:contextualSpacing/>
    </w:pPr>
  </w:style>
  <w:style w:type="paragraph" w:styleId="Listenumros">
    <w:name w:val="List Number"/>
    <w:basedOn w:val="Normal"/>
    <w:uiPriority w:val="99"/>
    <w:unhideWhenUsed/>
    <w:rsid w:val="00326F90"/>
    <w:pPr>
      <w:tabs>
        <w:tab w:val="num" w:pos="720"/>
      </w:tabs>
      <w:ind w:left="720" w:hanging="720"/>
      <w:contextualSpacing/>
    </w:pPr>
  </w:style>
  <w:style w:type="paragraph" w:styleId="Listenumros2">
    <w:name w:val="List Number 2"/>
    <w:basedOn w:val="Normal"/>
    <w:uiPriority w:val="99"/>
    <w:unhideWhenUsed/>
    <w:rsid w:val="0029639D"/>
    <w:pPr>
      <w:tabs>
        <w:tab w:val="num" w:pos="720"/>
      </w:tabs>
      <w:ind w:left="720" w:hanging="720"/>
      <w:contextualSpacing/>
    </w:pPr>
  </w:style>
  <w:style w:type="paragraph" w:styleId="Listenumros3">
    <w:name w:val="List Number 3"/>
    <w:basedOn w:val="Normal"/>
    <w:uiPriority w:val="99"/>
    <w:unhideWhenUsed/>
    <w:rsid w:val="0029639D"/>
    <w:pPr>
      <w:tabs>
        <w:tab w:val="num" w:pos="720"/>
      </w:tabs>
      <w:ind w:left="720" w:hanging="720"/>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next w:val="Normal"/>
    <w:uiPriority w:val="39"/>
    <w:semiHidden/>
    <w:unhideWhenUsed/>
    <w:qFormat/>
    <w:rsid w:val="00FC693F"/>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Marquedecommentaire">
    <w:name w:val="annotation reference"/>
    <w:basedOn w:val="Policepardfaut"/>
    <w:uiPriority w:val="99"/>
    <w:semiHidden/>
    <w:unhideWhenUsed/>
    <w:rsid w:val="001D6C22"/>
    <w:rPr>
      <w:sz w:val="16"/>
      <w:szCs w:val="16"/>
    </w:rPr>
  </w:style>
  <w:style w:type="paragraph" w:styleId="Commentaire">
    <w:name w:val="annotation text"/>
    <w:basedOn w:val="Normal"/>
    <w:link w:val="CommentaireCar"/>
    <w:uiPriority w:val="99"/>
    <w:semiHidden/>
    <w:unhideWhenUsed/>
    <w:rsid w:val="001D6C22"/>
    <w:pPr>
      <w:spacing w:line="240" w:lineRule="auto"/>
    </w:pPr>
    <w:rPr>
      <w:sz w:val="20"/>
      <w:szCs w:val="20"/>
    </w:rPr>
  </w:style>
  <w:style w:type="character" w:customStyle="1" w:styleId="CommentaireCar">
    <w:name w:val="Commentaire Car"/>
    <w:basedOn w:val="Policepardfaut"/>
    <w:link w:val="Commentaire"/>
    <w:uiPriority w:val="99"/>
    <w:semiHidden/>
    <w:rsid w:val="001D6C22"/>
    <w:rPr>
      <w:sz w:val="20"/>
      <w:szCs w:val="20"/>
    </w:rPr>
  </w:style>
  <w:style w:type="paragraph" w:styleId="Objetducommentaire">
    <w:name w:val="annotation subject"/>
    <w:basedOn w:val="Commentaire"/>
    <w:next w:val="Commentaire"/>
    <w:link w:val="ObjetducommentaireCar"/>
    <w:uiPriority w:val="99"/>
    <w:semiHidden/>
    <w:unhideWhenUsed/>
    <w:rsid w:val="001D6C22"/>
    <w:rPr>
      <w:b/>
      <w:bCs/>
    </w:rPr>
  </w:style>
  <w:style w:type="character" w:customStyle="1" w:styleId="ObjetducommentaireCar">
    <w:name w:val="Objet du commentaire Car"/>
    <w:basedOn w:val="CommentaireCar"/>
    <w:link w:val="Objetducommentaire"/>
    <w:uiPriority w:val="99"/>
    <w:semiHidden/>
    <w:rsid w:val="001D6C22"/>
    <w:rPr>
      <w:b/>
      <w:bCs/>
      <w:sz w:val="20"/>
      <w:szCs w:val="20"/>
    </w:rPr>
  </w:style>
  <w:style w:type="paragraph" w:styleId="Textedebulles">
    <w:name w:val="Balloon Text"/>
    <w:basedOn w:val="Normal"/>
    <w:link w:val="TextedebullesCar"/>
    <w:uiPriority w:val="99"/>
    <w:semiHidden/>
    <w:unhideWhenUsed/>
    <w:rsid w:val="001D6C22"/>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D6C22"/>
    <w:rPr>
      <w:rFonts w:ascii="Times New Roman" w:hAnsi="Times New Roman" w:cs="Times New Roman"/>
      <w:sz w:val="18"/>
      <w:szCs w:val="18"/>
    </w:rPr>
  </w:style>
  <w:style w:type="paragraph" w:styleId="Sous-titre">
    <w:name w:val="Subtitle"/>
    <w:basedOn w:val="Normal"/>
    <w:next w:val="Normal"/>
    <w:uiPriority w:val="11"/>
    <w:qFormat/>
    <w:rPr>
      <w:rFonts w:ascii="Calibri" w:eastAsia="Calibri" w:hAnsi="Calibri" w:cs="Calibri"/>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N+DviJEU4i6qa0fExLxO5TG0Q==">CgMxLjAyDmguemZpYzRoYXNnMzV3OAByITFlV0JyaUVKZW5SRkhJOG94djJQUjd3N3M3MllzdUhEUQ==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659</Words>
  <Characters>3630</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Axel Vicart</cp:lastModifiedBy>
  <cp:revision>8</cp:revision>
  <dcterms:created xsi:type="dcterms:W3CDTF">2026-01-09T12:16:00Z</dcterms:created>
  <dcterms:modified xsi:type="dcterms:W3CDTF">2026-02-04T10:37:00Z</dcterms:modified>
</cp:coreProperties>
</file>